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6DF5" w14:textId="77777777" w:rsidR="00BE31FE" w:rsidRPr="00441ECF" w:rsidRDefault="00BE31FE" w:rsidP="00BE31FE">
      <w:pPr>
        <w:snapToGrid w:val="0"/>
        <w:ind w:left="3255" w:right="-1" w:firstLine="840"/>
        <w:jc w:val="right"/>
        <w:rPr>
          <w:rFonts w:ascii="ＭＳ 明朝" w:hAnsi="ＭＳ 明朝"/>
          <w:szCs w:val="21"/>
        </w:rPr>
      </w:pPr>
      <w:r w:rsidRPr="00441ECF">
        <w:rPr>
          <w:rFonts w:ascii="ＭＳ 明朝" w:hAnsi="ＭＳ 明朝" w:hint="eastAsia"/>
          <w:szCs w:val="21"/>
        </w:rPr>
        <w:t>令和　　年　　月　　日</w:t>
      </w:r>
    </w:p>
    <w:p w14:paraId="262F37A5" w14:textId="77777777" w:rsidR="00BE31FE" w:rsidRPr="00441ECF" w:rsidRDefault="00BE31FE" w:rsidP="008C5EB8">
      <w:pPr>
        <w:snapToGrid w:val="0"/>
        <w:rPr>
          <w:rFonts w:ascii="ＭＳ 明朝" w:hAnsi="ＭＳ 明朝"/>
          <w:szCs w:val="21"/>
        </w:rPr>
      </w:pPr>
    </w:p>
    <w:p w14:paraId="49551BFD" w14:textId="70CEA71D" w:rsidR="00780E0D" w:rsidRPr="00441ECF" w:rsidRDefault="00441ECF" w:rsidP="00441ECF">
      <w:pPr>
        <w:wordWrap w:val="0"/>
        <w:snapToGrid w:val="0"/>
        <w:jc w:val="right"/>
        <w:rPr>
          <w:rFonts w:ascii="ＭＳ 明朝" w:hAnsi="ＭＳ 明朝"/>
          <w:szCs w:val="21"/>
        </w:rPr>
      </w:pPr>
      <w:r w:rsidRPr="00441ECF">
        <w:rPr>
          <w:rFonts w:ascii="ＭＳ 明朝" w:hAnsi="ＭＳ 明朝" w:hint="eastAsia"/>
          <w:szCs w:val="21"/>
        </w:rPr>
        <w:t>人事部　○○</w:t>
      </w:r>
    </w:p>
    <w:p w14:paraId="0E598FB7" w14:textId="77777777" w:rsidR="00D90753" w:rsidRPr="00D90753" w:rsidRDefault="00D90753" w:rsidP="00D90753">
      <w:pPr>
        <w:snapToGrid w:val="0"/>
        <w:jc w:val="right"/>
        <w:rPr>
          <w:rFonts w:ascii="ＭＳ 明朝" w:hAnsi="ＭＳ 明朝"/>
          <w:sz w:val="28"/>
          <w:szCs w:val="32"/>
        </w:rPr>
      </w:pPr>
    </w:p>
    <w:p w14:paraId="37EC022D" w14:textId="09148920" w:rsidR="00441ECF" w:rsidRPr="003F6BEA" w:rsidRDefault="003F6BEA" w:rsidP="003F6BEA">
      <w:pPr>
        <w:snapToGrid w:val="0"/>
        <w:jc w:val="center"/>
        <w:rPr>
          <w:rFonts w:ascii="ＭＳ 明朝" w:hAnsi="ＭＳ 明朝"/>
          <w:sz w:val="22"/>
          <w:szCs w:val="24"/>
        </w:rPr>
      </w:pPr>
      <w:r w:rsidRPr="003F6BEA">
        <w:rPr>
          <w:rFonts w:ascii="ＭＳ 明朝" w:hAnsi="ＭＳ 明朝" w:hint="eastAsia"/>
          <w:b/>
          <w:bCs/>
          <w:sz w:val="24"/>
          <w:szCs w:val="28"/>
        </w:rPr>
        <w:t>営業力強化および売上向上を目的とした営業教育プログラム導入に関する提案書</w:t>
      </w:r>
    </w:p>
    <w:p w14:paraId="0D9B27D1" w14:textId="77777777" w:rsidR="003F6BEA" w:rsidRDefault="003F6BEA" w:rsidP="00441ECF">
      <w:pPr>
        <w:snapToGrid w:val="0"/>
        <w:rPr>
          <w:rFonts w:ascii="ＭＳ 明朝" w:hAnsi="ＭＳ 明朝"/>
          <w:b/>
          <w:bCs/>
          <w:szCs w:val="21"/>
        </w:rPr>
      </w:pPr>
    </w:p>
    <w:p w14:paraId="14FA5168" w14:textId="20D96E6D" w:rsidR="00441ECF" w:rsidRPr="00441ECF" w:rsidRDefault="00441ECF" w:rsidP="003F6BEA">
      <w:pPr>
        <w:snapToGrid w:val="0"/>
        <w:rPr>
          <w:rFonts w:ascii="ＭＳ 明朝" w:hAnsi="ＭＳ 明朝"/>
          <w:b/>
          <w:bCs/>
          <w:szCs w:val="21"/>
        </w:rPr>
      </w:pPr>
      <w:r w:rsidRPr="00441ECF">
        <w:rPr>
          <w:rFonts w:ascii="ＭＳ 明朝" w:hAnsi="ＭＳ 明朝" w:hint="eastAsia"/>
          <w:b/>
          <w:bCs/>
          <w:szCs w:val="21"/>
        </w:rPr>
        <w:t xml:space="preserve">1. </w:t>
      </w:r>
      <w:r w:rsidR="003F6BEA" w:rsidRPr="003F6BEA">
        <w:rPr>
          <w:rFonts w:ascii="ＭＳ 明朝" w:hAnsi="ＭＳ 明朝" w:hint="eastAsia"/>
          <w:b/>
          <w:bCs/>
          <w:szCs w:val="21"/>
        </w:rPr>
        <w:t>提案の背景と目的</w:t>
      </w:r>
    </w:p>
    <w:p w14:paraId="5CEE0D4D" w14:textId="4F0C11F1" w:rsidR="003F6BEA" w:rsidRPr="003F6BEA" w:rsidRDefault="003F6BEA" w:rsidP="00CE5C07">
      <w:pPr>
        <w:snapToGrid w:val="0"/>
        <w:ind w:leftChars="135" w:left="283"/>
        <w:rPr>
          <w:rFonts w:ascii="ＭＳ 明朝" w:hAnsi="ＭＳ 明朝"/>
          <w:szCs w:val="21"/>
        </w:rPr>
      </w:pPr>
      <w:r w:rsidRPr="003F6BEA">
        <w:rPr>
          <w:rFonts w:ascii="ＭＳ 明朝" w:hAnsi="ＭＳ 明朝" w:hint="eastAsia"/>
          <w:szCs w:val="21"/>
        </w:rPr>
        <w:t>現在、当社営業部門においては各担当者が個別の営業スタイルで活動しており、一定の成果を上げている社員がいる一方で、成果にばらつきが生じている状況です。</w:t>
      </w:r>
    </w:p>
    <w:p w14:paraId="68019CAF" w14:textId="1D1917E1" w:rsidR="003F6BEA" w:rsidRPr="003F6BEA" w:rsidRDefault="003F6BEA" w:rsidP="00CE5C07">
      <w:pPr>
        <w:snapToGrid w:val="0"/>
        <w:spacing w:beforeLines="50" w:before="155"/>
        <w:ind w:leftChars="135" w:left="283"/>
        <w:rPr>
          <w:rFonts w:ascii="ＭＳ 明朝" w:hAnsi="ＭＳ 明朝"/>
          <w:szCs w:val="21"/>
        </w:rPr>
      </w:pPr>
      <w:r w:rsidRPr="003F6BEA">
        <w:rPr>
          <w:rFonts w:ascii="ＭＳ 明朝" w:hAnsi="ＭＳ 明朝" w:hint="eastAsia"/>
          <w:szCs w:val="21"/>
        </w:rPr>
        <w:t>また、営業ノウハウが個人に依存しているため、組織としての再現性や育成体制が十分に確立されていないことが課題となっています。</w:t>
      </w:r>
    </w:p>
    <w:p w14:paraId="5DFF82D6" w14:textId="66B5D798" w:rsidR="00441ECF" w:rsidRPr="00441ECF" w:rsidRDefault="003F6BEA" w:rsidP="00CE5C07">
      <w:pPr>
        <w:snapToGrid w:val="0"/>
        <w:spacing w:beforeLines="50" w:before="155"/>
        <w:ind w:leftChars="135" w:left="283"/>
        <w:rPr>
          <w:rFonts w:ascii="ＭＳ 明朝" w:hAnsi="ＭＳ 明朝"/>
          <w:szCs w:val="21"/>
        </w:rPr>
      </w:pPr>
      <w:r w:rsidRPr="003F6BEA">
        <w:rPr>
          <w:rFonts w:ascii="ＭＳ 明朝" w:hAnsi="ＭＳ 明朝" w:hint="eastAsia"/>
          <w:szCs w:val="21"/>
        </w:rPr>
        <w:t>本提案では、営業活動の標準化とスキル底上げを図り、安定的な売上拡大と営業組織の強化を目的として、営業教育プログラムの導入を提案いたします。</w:t>
      </w:r>
    </w:p>
    <w:p w14:paraId="14101540" w14:textId="4F82739C" w:rsidR="00441ECF" w:rsidRPr="00441ECF" w:rsidRDefault="00441ECF" w:rsidP="003F6BEA">
      <w:pPr>
        <w:snapToGrid w:val="0"/>
        <w:spacing w:beforeLines="50" w:before="155"/>
        <w:rPr>
          <w:rFonts w:ascii="ＭＳ 明朝" w:hAnsi="ＭＳ 明朝"/>
          <w:b/>
          <w:bCs/>
          <w:szCs w:val="21"/>
        </w:rPr>
      </w:pPr>
      <w:r w:rsidRPr="00441ECF">
        <w:rPr>
          <w:rFonts w:ascii="ＭＳ 明朝" w:hAnsi="ＭＳ 明朝" w:hint="eastAsia"/>
          <w:b/>
          <w:bCs/>
          <w:szCs w:val="21"/>
        </w:rPr>
        <w:t>2. 現状の課題</w:t>
      </w:r>
      <w:r w:rsidR="003F6BEA" w:rsidRPr="003F6BEA">
        <w:rPr>
          <w:rFonts w:ascii="ＭＳ 明朝" w:hAnsi="ＭＳ 明朝"/>
          <w:b/>
          <w:bCs/>
          <w:szCs w:val="21"/>
        </w:rPr>
        <w:t>（営業活動の実態）</w:t>
      </w:r>
    </w:p>
    <w:p w14:paraId="091B4CAC" w14:textId="7F96C0FA" w:rsidR="003F6BEA" w:rsidRPr="003F6BEA" w:rsidRDefault="003F6BEA" w:rsidP="003F6BEA">
      <w:pPr>
        <w:snapToGrid w:val="0"/>
        <w:ind w:leftChars="135" w:left="283"/>
        <w:rPr>
          <w:rFonts w:ascii="ＭＳ 明朝" w:hAnsi="ＭＳ 明朝"/>
          <w:szCs w:val="21"/>
        </w:rPr>
      </w:pPr>
      <w:r w:rsidRPr="003F6BEA">
        <w:rPr>
          <w:rFonts w:ascii="ＭＳ 明朝" w:hAnsi="ＭＳ 明朝" w:hint="eastAsia"/>
          <w:szCs w:val="21"/>
        </w:rPr>
        <w:t>現状の営業体制において、以下の問題点が確認されています。</w:t>
      </w:r>
    </w:p>
    <w:p w14:paraId="2DFD2370" w14:textId="77777777" w:rsidR="003F6BEA" w:rsidRPr="003F6BEA" w:rsidRDefault="003F6BEA" w:rsidP="003F6BEA">
      <w:pPr>
        <w:snapToGrid w:val="0"/>
        <w:spacing w:beforeLines="50" w:before="155"/>
        <w:ind w:leftChars="68" w:left="851" w:hangingChars="337" w:hanging="708"/>
        <w:rPr>
          <w:rFonts w:ascii="ＭＳ 明朝" w:hAnsi="ＭＳ 明朝"/>
          <w:szCs w:val="21"/>
        </w:rPr>
      </w:pPr>
      <w:r w:rsidRPr="003F6BEA">
        <w:rPr>
          <w:rFonts w:ascii="ＭＳ 明朝" w:hAnsi="ＭＳ 明朝" w:hint="eastAsia"/>
          <w:szCs w:val="21"/>
        </w:rPr>
        <w:t>・営業手法が個人任せであり、組織としての統一基準が存在しない</w:t>
      </w:r>
    </w:p>
    <w:p w14:paraId="63455D6C" w14:textId="77777777" w:rsidR="003F6BEA" w:rsidRPr="003F6BEA" w:rsidRDefault="003F6BEA" w:rsidP="003F6BEA">
      <w:pPr>
        <w:snapToGrid w:val="0"/>
        <w:ind w:leftChars="68" w:left="851" w:hangingChars="337" w:hanging="708"/>
        <w:rPr>
          <w:rFonts w:ascii="ＭＳ 明朝" w:hAnsi="ＭＳ 明朝"/>
          <w:szCs w:val="21"/>
        </w:rPr>
      </w:pPr>
      <w:r w:rsidRPr="003F6BEA">
        <w:rPr>
          <w:rFonts w:ascii="ＭＳ 明朝" w:hAnsi="ＭＳ 明朝" w:hint="eastAsia"/>
          <w:szCs w:val="21"/>
        </w:rPr>
        <w:t>・成果の高い社員のノウハウが共有されていない</w:t>
      </w:r>
    </w:p>
    <w:p w14:paraId="771DDAFD" w14:textId="77777777" w:rsidR="003F6BEA" w:rsidRPr="003F6BEA" w:rsidRDefault="003F6BEA" w:rsidP="003F6BEA">
      <w:pPr>
        <w:snapToGrid w:val="0"/>
        <w:ind w:leftChars="68" w:left="851" w:hangingChars="337" w:hanging="708"/>
        <w:rPr>
          <w:rFonts w:ascii="ＭＳ 明朝" w:hAnsi="ＭＳ 明朝"/>
          <w:szCs w:val="21"/>
        </w:rPr>
      </w:pPr>
      <w:r w:rsidRPr="003F6BEA">
        <w:rPr>
          <w:rFonts w:ascii="ＭＳ 明朝" w:hAnsi="ＭＳ 明朝" w:hint="eastAsia"/>
          <w:szCs w:val="21"/>
        </w:rPr>
        <w:t>・新人・若手の育成プロセスが体系化されていない</w:t>
      </w:r>
    </w:p>
    <w:p w14:paraId="4F67052F" w14:textId="77777777" w:rsidR="003F6BEA" w:rsidRPr="003F6BEA" w:rsidRDefault="003F6BEA" w:rsidP="003F6BEA">
      <w:pPr>
        <w:snapToGrid w:val="0"/>
        <w:ind w:leftChars="68" w:left="851" w:hangingChars="337" w:hanging="708"/>
        <w:rPr>
          <w:rFonts w:ascii="ＭＳ 明朝" w:hAnsi="ＭＳ 明朝"/>
          <w:szCs w:val="21"/>
        </w:rPr>
      </w:pPr>
      <w:r w:rsidRPr="003F6BEA">
        <w:rPr>
          <w:rFonts w:ascii="ＭＳ 明朝" w:hAnsi="ＭＳ 明朝" w:hint="eastAsia"/>
          <w:szCs w:val="21"/>
        </w:rPr>
        <w:t>・顧客への提案内容にばらつきがあり、成約率に差がある</w:t>
      </w:r>
    </w:p>
    <w:p w14:paraId="3E3EBDDB" w14:textId="77777777" w:rsidR="003F6BEA" w:rsidRPr="003F6BEA" w:rsidRDefault="003F6BEA" w:rsidP="003F6BEA">
      <w:pPr>
        <w:snapToGrid w:val="0"/>
        <w:ind w:leftChars="68" w:left="851" w:hangingChars="337" w:hanging="708"/>
        <w:rPr>
          <w:rFonts w:ascii="ＭＳ 明朝" w:hAnsi="ＭＳ 明朝"/>
          <w:szCs w:val="21"/>
        </w:rPr>
      </w:pPr>
      <w:r w:rsidRPr="003F6BEA">
        <w:rPr>
          <w:rFonts w:ascii="ＭＳ 明朝" w:hAnsi="ＭＳ 明朝" w:hint="eastAsia"/>
          <w:szCs w:val="21"/>
        </w:rPr>
        <w:t>・営業活動の振り返りや改善サイクルが機能していない</w:t>
      </w:r>
    </w:p>
    <w:p w14:paraId="2D984ED3" w14:textId="761CFC02" w:rsidR="00441ECF" w:rsidRPr="00441ECF" w:rsidRDefault="003F6BEA" w:rsidP="003F6BEA">
      <w:pPr>
        <w:snapToGrid w:val="0"/>
        <w:spacing w:beforeLines="50" w:before="155"/>
        <w:ind w:leftChars="135" w:left="283"/>
        <w:rPr>
          <w:rFonts w:ascii="ＭＳ 明朝" w:hAnsi="ＭＳ 明朝"/>
          <w:szCs w:val="21"/>
        </w:rPr>
      </w:pPr>
      <w:r w:rsidRPr="003F6BEA">
        <w:rPr>
          <w:rFonts w:ascii="ＭＳ 明朝" w:hAnsi="ＭＳ 明朝" w:hint="eastAsia"/>
          <w:szCs w:val="21"/>
        </w:rPr>
        <w:t>これらの課題により、営業活動の効率化および売上最大化の機会を十分に活かしきれていない状況です。</w:t>
      </w:r>
    </w:p>
    <w:p w14:paraId="02F51873" w14:textId="364E11B5" w:rsidR="00441ECF" w:rsidRDefault="00441ECF" w:rsidP="003F6BEA">
      <w:pPr>
        <w:snapToGrid w:val="0"/>
        <w:spacing w:beforeLines="50" w:before="155"/>
        <w:rPr>
          <w:rFonts w:ascii="ＭＳ 明朝" w:hAnsi="ＭＳ 明朝"/>
          <w:b/>
          <w:bCs/>
          <w:szCs w:val="21"/>
        </w:rPr>
      </w:pPr>
      <w:r w:rsidRPr="00441ECF">
        <w:rPr>
          <w:rFonts w:ascii="ＭＳ 明朝" w:hAnsi="ＭＳ 明朝" w:hint="eastAsia"/>
          <w:b/>
          <w:bCs/>
          <w:szCs w:val="21"/>
        </w:rPr>
        <w:t xml:space="preserve">3. </w:t>
      </w:r>
      <w:r w:rsidR="003F6BEA" w:rsidRPr="003F6BEA">
        <w:rPr>
          <w:rFonts w:ascii="ＭＳ 明朝" w:hAnsi="ＭＳ 明朝"/>
          <w:b/>
          <w:bCs/>
          <w:szCs w:val="21"/>
        </w:rPr>
        <w:t>提案内容（営業教育プログラムの導入）</w:t>
      </w:r>
    </w:p>
    <w:p w14:paraId="5C9145BA" w14:textId="691CDFA6" w:rsidR="003F6BEA" w:rsidRDefault="003F6BEA" w:rsidP="004C46B7">
      <w:pPr>
        <w:snapToGrid w:val="0"/>
        <w:ind w:leftChars="135" w:left="283"/>
        <w:rPr>
          <w:rFonts w:ascii="ＭＳ 明朝" w:hAnsi="ＭＳ 明朝"/>
          <w:szCs w:val="21"/>
        </w:rPr>
      </w:pPr>
      <w:r w:rsidRPr="003F6BEA">
        <w:rPr>
          <w:rFonts w:ascii="ＭＳ 明朝" w:hAnsi="ＭＳ 明朝"/>
          <w:szCs w:val="21"/>
        </w:rPr>
        <w:t>本提案では、単発の研修ではなく、継続的に営業力を高めるための教育プログラムの導入を推奨します。</w:t>
      </w:r>
    </w:p>
    <w:p w14:paraId="09D42A89" w14:textId="77777777" w:rsidR="003F6BEA" w:rsidRPr="003F6BEA" w:rsidRDefault="003F6BEA" w:rsidP="003F6BEA">
      <w:pPr>
        <w:snapToGrid w:val="0"/>
        <w:spacing w:beforeLines="50" w:before="155"/>
        <w:ind w:leftChars="67" w:left="141"/>
        <w:rPr>
          <w:rFonts w:ascii="ＭＳ 明朝" w:hAnsi="ＭＳ 明朝"/>
          <w:szCs w:val="21"/>
        </w:rPr>
      </w:pPr>
      <w:r w:rsidRPr="003F6BEA">
        <w:rPr>
          <w:rFonts w:ascii="ＭＳ 明朝" w:hAnsi="ＭＳ 明朝" w:hint="eastAsia"/>
          <w:szCs w:val="21"/>
        </w:rPr>
        <w:t>（1）営業スキル標準化セミナーの実施</w:t>
      </w:r>
    </w:p>
    <w:p w14:paraId="15734C35" w14:textId="77777777" w:rsidR="003F6BEA" w:rsidRPr="003F6BEA" w:rsidRDefault="003F6BEA" w:rsidP="003F6BEA">
      <w:pPr>
        <w:snapToGrid w:val="0"/>
        <w:ind w:leftChars="202" w:left="424"/>
        <w:rPr>
          <w:rFonts w:ascii="ＭＳ 明朝" w:hAnsi="ＭＳ 明朝"/>
          <w:szCs w:val="21"/>
        </w:rPr>
      </w:pPr>
      <w:r w:rsidRPr="003F6BEA">
        <w:rPr>
          <w:rFonts w:ascii="ＭＳ 明朝" w:hAnsi="ＭＳ 明朝" w:hint="eastAsia"/>
          <w:szCs w:val="21"/>
        </w:rPr>
        <w:t>外部講師を招き、ソリューション営業・課題解決型営業を中心とした研修を実施します。</w:t>
      </w:r>
    </w:p>
    <w:p w14:paraId="033F54E4" w14:textId="77777777" w:rsidR="003F6BEA" w:rsidRPr="003F6BEA" w:rsidRDefault="003F6BEA" w:rsidP="003F6BEA">
      <w:pPr>
        <w:snapToGrid w:val="0"/>
        <w:ind w:leftChars="202" w:left="424"/>
        <w:rPr>
          <w:rFonts w:ascii="ＭＳ 明朝" w:hAnsi="ＭＳ 明朝"/>
          <w:szCs w:val="21"/>
        </w:rPr>
      </w:pPr>
      <w:r w:rsidRPr="003F6BEA">
        <w:rPr>
          <w:rFonts w:ascii="ＭＳ 明朝" w:hAnsi="ＭＳ 明朝" w:hint="eastAsia"/>
          <w:szCs w:val="21"/>
        </w:rPr>
        <w:t>これにより、全営業担当者が共通のフレームワークを習得し、提案力の底上げを図ります。</w:t>
      </w:r>
    </w:p>
    <w:p w14:paraId="67CAB349" w14:textId="77777777" w:rsidR="003F6BEA" w:rsidRPr="003F6BEA" w:rsidRDefault="003F6BEA" w:rsidP="003F6BEA">
      <w:pPr>
        <w:snapToGrid w:val="0"/>
        <w:spacing w:beforeLines="50" w:before="155"/>
        <w:ind w:leftChars="67" w:left="141"/>
        <w:rPr>
          <w:rFonts w:ascii="ＭＳ 明朝" w:hAnsi="ＭＳ 明朝"/>
          <w:szCs w:val="21"/>
        </w:rPr>
      </w:pPr>
      <w:r w:rsidRPr="003F6BEA">
        <w:rPr>
          <w:rFonts w:ascii="ＭＳ 明朝" w:hAnsi="ＭＳ 明朝" w:hint="eastAsia"/>
          <w:szCs w:val="21"/>
        </w:rPr>
        <w:t>（2）営業プロセスの可視化と共有</w:t>
      </w:r>
    </w:p>
    <w:p w14:paraId="1E738065" w14:textId="13BCBFB2" w:rsidR="003F6BEA" w:rsidRPr="003F6BEA" w:rsidRDefault="003F6BEA" w:rsidP="00CE5C07">
      <w:pPr>
        <w:snapToGrid w:val="0"/>
        <w:ind w:leftChars="202" w:left="424"/>
        <w:rPr>
          <w:rFonts w:ascii="ＭＳ 明朝" w:hAnsi="ＭＳ 明朝"/>
          <w:szCs w:val="21"/>
        </w:rPr>
      </w:pPr>
      <w:r w:rsidRPr="003F6BEA">
        <w:rPr>
          <w:rFonts w:ascii="ＭＳ 明朝" w:hAnsi="ＭＳ 明朝" w:hint="eastAsia"/>
          <w:szCs w:val="21"/>
        </w:rPr>
        <w:t>ヒアリング・提案・クロージングまでの営業プロセスを明文化し、社内で共有することで、再現性のある営業活動を実現します。</w:t>
      </w:r>
    </w:p>
    <w:p w14:paraId="45F52C58" w14:textId="77777777" w:rsidR="003F6BEA" w:rsidRPr="003F6BEA" w:rsidRDefault="003F6BEA" w:rsidP="003F6BEA">
      <w:pPr>
        <w:snapToGrid w:val="0"/>
        <w:spacing w:beforeLines="50" w:before="155"/>
        <w:ind w:leftChars="67" w:left="141"/>
        <w:rPr>
          <w:rFonts w:ascii="ＭＳ 明朝" w:hAnsi="ＭＳ 明朝"/>
          <w:szCs w:val="21"/>
        </w:rPr>
      </w:pPr>
      <w:r w:rsidRPr="003F6BEA">
        <w:rPr>
          <w:rFonts w:ascii="ＭＳ 明朝" w:hAnsi="ＭＳ 明朝" w:hint="eastAsia"/>
          <w:szCs w:val="21"/>
        </w:rPr>
        <w:t>（3）ロールプレイングおよび実践トレーニング</w:t>
      </w:r>
    </w:p>
    <w:p w14:paraId="0CCF3E96" w14:textId="4B12C1B7" w:rsidR="003F6BEA" w:rsidRPr="003F6BEA" w:rsidRDefault="003F6BEA" w:rsidP="00CE5C07">
      <w:pPr>
        <w:snapToGrid w:val="0"/>
        <w:ind w:leftChars="202" w:left="424"/>
        <w:rPr>
          <w:rFonts w:ascii="ＭＳ 明朝" w:hAnsi="ＭＳ 明朝"/>
          <w:szCs w:val="21"/>
        </w:rPr>
      </w:pPr>
      <w:r w:rsidRPr="003F6BEA">
        <w:rPr>
          <w:rFonts w:ascii="ＭＳ 明朝" w:hAnsi="ＭＳ 明朝" w:hint="eastAsia"/>
          <w:szCs w:val="21"/>
        </w:rPr>
        <w:t>実際の営業シーンを想定したロールプレイングを実施し、提案力・交渉力・課題把握力を強化します。</w:t>
      </w:r>
    </w:p>
    <w:p w14:paraId="7EFFFB77" w14:textId="77777777" w:rsidR="003F6BEA" w:rsidRPr="003F6BEA" w:rsidRDefault="003F6BEA" w:rsidP="003F6BEA">
      <w:pPr>
        <w:snapToGrid w:val="0"/>
        <w:spacing w:beforeLines="50" w:before="155"/>
        <w:ind w:leftChars="67" w:left="141"/>
        <w:rPr>
          <w:rFonts w:ascii="ＭＳ 明朝" w:hAnsi="ＭＳ 明朝"/>
          <w:szCs w:val="21"/>
        </w:rPr>
      </w:pPr>
      <w:r w:rsidRPr="003F6BEA">
        <w:rPr>
          <w:rFonts w:ascii="ＭＳ 明朝" w:hAnsi="ＭＳ 明朝" w:hint="eastAsia"/>
          <w:szCs w:val="21"/>
        </w:rPr>
        <w:t>（4）継続フォローおよび評価制度の導入</w:t>
      </w:r>
    </w:p>
    <w:p w14:paraId="17A5F14A" w14:textId="299E7035" w:rsidR="003F6BEA" w:rsidRDefault="003F6BEA" w:rsidP="00CE5C07">
      <w:pPr>
        <w:snapToGrid w:val="0"/>
        <w:ind w:leftChars="202" w:left="424"/>
        <w:rPr>
          <w:rFonts w:ascii="ＭＳ 明朝" w:hAnsi="ＭＳ 明朝"/>
          <w:szCs w:val="21"/>
        </w:rPr>
      </w:pPr>
      <w:r w:rsidRPr="003F6BEA">
        <w:rPr>
          <w:rFonts w:ascii="ＭＳ 明朝" w:hAnsi="ＭＳ 明朝" w:hint="eastAsia"/>
          <w:szCs w:val="21"/>
        </w:rPr>
        <w:t>セミナー実施後も定期的な振り返りや評価を行い、スキル定着および継続的な改善を図ります。</w:t>
      </w:r>
    </w:p>
    <w:p w14:paraId="1EE7E595" w14:textId="1CB0D876" w:rsidR="00441ECF" w:rsidRPr="00441ECF" w:rsidRDefault="00441ECF" w:rsidP="00004D44">
      <w:pPr>
        <w:snapToGrid w:val="0"/>
        <w:spacing w:beforeLines="50" w:before="155"/>
        <w:rPr>
          <w:rFonts w:ascii="ＭＳ 明朝" w:hAnsi="ＭＳ 明朝"/>
          <w:b/>
          <w:bCs/>
          <w:szCs w:val="21"/>
        </w:rPr>
      </w:pPr>
      <w:r w:rsidRPr="00441ECF">
        <w:rPr>
          <w:rFonts w:ascii="ＭＳ 明朝" w:hAnsi="ＭＳ 明朝" w:hint="eastAsia"/>
          <w:b/>
          <w:bCs/>
          <w:szCs w:val="21"/>
        </w:rPr>
        <w:t>4. 期待される効果</w:t>
      </w:r>
    </w:p>
    <w:p w14:paraId="17171C2A" w14:textId="77777777" w:rsidR="00AD3B7B" w:rsidRDefault="00AD3B7B" w:rsidP="00AD3B7B">
      <w:pPr>
        <w:snapToGrid w:val="0"/>
        <w:ind w:leftChars="135" w:left="283"/>
        <w:rPr>
          <w:rFonts w:ascii="ＭＳ 明朝" w:hAnsi="ＭＳ 明朝"/>
          <w:szCs w:val="21"/>
        </w:rPr>
      </w:pPr>
      <w:r w:rsidRPr="00AD3B7B">
        <w:rPr>
          <w:rFonts w:ascii="ＭＳ 明朝" w:hAnsi="ＭＳ 明朝"/>
          <w:szCs w:val="21"/>
        </w:rPr>
        <w:t>本施策の実施により、以下の成果が期待されます。</w:t>
      </w:r>
    </w:p>
    <w:p w14:paraId="1DDB99FB" w14:textId="77777777" w:rsidR="00AD3B7B" w:rsidRPr="00AD3B7B" w:rsidRDefault="00AD3B7B" w:rsidP="00AD3B7B">
      <w:pPr>
        <w:snapToGrid w:val="0"/>
        <w:spacing w:beforeLines="50" w:before="155"/>
        <w:ind w:leftChars="68" w:left="851" w:hangingChars="337" w:hanging="708"/>
        <w:rPr>
          <w:rFonts w:ascii="ＭＳ 明朝" w:hAnsi="ＭＳ 明朝"/>
          <w:szCs w:val="21"/>
        </w:rPr>
      </w:pPr>
      <w:r w:rsidRPr="00AD3B7B">
        <w:rPr>
          <w:rFonts w:ascii="ＭＳ 明朝" w:hAnsi="ＭＳ 明朝" w:hint="eastAsia"/>
          <w:szCs w:val="21"/>
        </w:rPr>
        <w:t>・営業成績のばらつきの縮小</w:t>
      </w:r>
    </w:p>
    <w:p w14:paraId="0CAEE25E" w14:textId="77777777" w:rsidR="00AD3B7B" w:rsidRPr="00AD3B7B" w:rsidRDefault="00AD3B7B" w:rsidP="00AD3B7B">
      <w:pPr>
        <w:snapToGrid w:val="0"/>
        <w:ind w:leftChars="68" w:left="851" w:hangingChars="337" w:hanging="708"/>
        <w:rPr>
          <w:rFonts w:ascii="ＭＳ 明朝" w:hAnsi="ＭＳ 明朝"/>
          <w:szCs w:val="21"/>
        </w:rPr>
      </w:pPr>
      <w:r w:rsidRPr="00AD3B7B">
        <w:rPr>
          <w:rFonts w:ascii="ＭＳ 明朝" w:hAnsi="ＭＳ 明朝" w:hint="eastAsia"/>
          <w:szCs w:val="21"/>
        </w:rPr>
        <w:t>・成約率および売上の向上</w:t>
      </w:r>
    </w:p>
    <w:p w14:paraId="2C2EDBC2" w14:textId="77777777" w:rsidR="00AD3B7B" w:rsidRPr="00AD3B7B" w:rsidRDefault="00AD3B7B" w:rsidP="00AD3B7B">
      <w:pPr>
        <w:snapToGrid w:val="0"/>
        <w:ind w:leftChars="68" w:left="851" w:hangingChars="337" w:hanging="708"/>
        <w:rPr>
          <w:rFonts w:ascii="ＭＳ 明朝" w:hAnsi="ＭＳ 明朝"/>
          <w:szCs w:val="21"/>
        </w:rPr>
      </w:pPr>
      <w:r w:rsidRPr="00AD3B7B">
        <w:rPr>
          <w:rFonts w:ascii="ＭＳ 明朝" w:hAnsi="ＭＳ 明朝" w:hint="eastAsia"/>
          <w:szCs w:val="21"/>
        </w:rPr>
        <w:t>・提案の質の均一化</w:t>
      </w:r>
    </w:p>
    <w:p w14:paraId="1CB17061" w14:textId="77777777" w:rsidR="00AD3B7B" w:rsidRPr="00AD3B7B" w:rsidRDefault="00AD3B7B" w:rsidP="00AD3B7B">
      <w:pPr>
        <w:snapToGrid w:val="0"/>
        <w:ind w:leftChars="68" w:left="708" w:hangingChars="269" w:hanging="565"/>
        <w:rPr>
          <w:rFonts w:ascii="ＭＳ 明朝" w:hAnsi="ＭＳ 明朝"/>
          <w:szCs w:val="21"/>
        </w:rPr>
      </w:pPr>
      <w:r w:rsidRPr="00AD3B7B">
        <w:rPr>
          <w:rFonts w:ascii="ＭＳ 明朝" w:hAnsi="ＭＳ 明朝" w:hint="eastAsia"/>
          <w:szCs w:val="21"/>
        </w:rPr>
        <w:t>・新人育成期間の短縮</w:t>
      </w:r>
    </w:p>
    <w:p w14:paraId="62F06E59" w14:textId="5E30F6FA" w:rsidR="00AD3B7B" w:rsidRDefault="00AD3B7B" w:rsidP="00AD3B7B">
      <w:pPr>
        <w:snapToGrid w:val="0"/>
        <w:ind w:leftChars="68" w:left="708" w:hangingChars="269" w:hanging="565"/>
        <w:rPr>
          <w:rFonts w:ascii="ＭＳ 明朝" w:hAnsi="ＭＳ 明朝"/>
          <w:szCs w:val="21"/>
        </w:rPr>
      </w:pPr>
      <w:r w:rsidRPr="00AD3B7B">
        <w:rPr>
          <w:rFonts w:ascii="ＭＳ 明朝" w:hAnsi="ＭＳ 明朝" w:hint="eastAsia"/>
          <w:szCs w:val="21"/>
        </w:rPr>
        <w:lastRenderedPageBreak/>
        <w:t>・営業組織全体の底上げ</w:t>
      </w:r>
      <w:r w:rsidR="00441ECF" w:rsidRPr="00441ECF">
        <w:rPr>
          <w:rFonts w:ascii="ＭＳ 明朝" w:hAnsi="ＭＳ 明朝" w:hint="eastAsia"/>
          <w:szCs w:val="21"/>
        </w:rPr>
        <w:t xml:space="preserve">　</w:t>
      </w:r>
    </w:p>
    <w:p w14:paraId="6AB514EB" w14:textId="65A208B3" w:rsidR="00AD3B7B" w:rsidRDefault="00AD3B7B" w:rsidP="00AD3B7B">
      <w:pPr>
        <w:snapToGrid w:val="0"/>
        <w:spacing w:beforeLines="50" w:before="155"/>
        <w:ind w:leftChars="135" w:left="283"/>
        <w:rPr>
          <w:rFonts w:ascii="ＭＳ 明朝" w:hAnsi="ＭＳ 明朝"/>
          <w:szCs w:val="21"/>
        </w:rPr>
      </w:pPr>
      <w:r w:rsidRPr="00AD3B7B">
        <w:rPr>
          <w:rFonts w:ascii="ＭＳ 明朝" w:hAnsi="ＭＳ 明朝"/>
          <w:szCs w:val="21"/>
        </w:rPr>
        <w:t>特に、営業の再現性が高まることで、長期的な売上安定化につながる点が大きなメリットです。</w:t>
      </w:r>
    </w:p>
    <w:p w14:paraId="01F6394F" w14:textId="476CF9AA" w:rsidR="00441ECF" w:rsidRPr="00441ECF" w:rsidRDefault="00441ECF" w:rsidP="00004D44">
      <w:pPr>
        <w:snapToGrid w:val="0"/>
        <w:spacing w:beforeLines="50" w:before="155"/>
        <w:rPr>
          <w:rFonts w:ascii="ＭＳ 明朝" w:hAnsi="ＭＳ 明朝"/>
          <w:b/>
          <w:bCs/>
          <w:szCs w:val="21"/>
        </w:rPr>
      </w:pPr>
      <w:r w:rsidRPr="00441ECF">
        <w:rPr>
          <w:rFonts w:ascii="ＭＳ 明朝" w:hAnsi="ＭＳ 明朝" w:hint="eastAsia"/>
          <w:b/>
          <w:bCs/>
          <w:szCs w:val="21"/>
        </w:rPr>
        <w:t>5. 実施計画（案）</w:t>
      </w:r>
    </w:p>
    <w:p w14:paraId="5CD0090D" w14:textId="77777777" w:rsidR="00CA6E54" w:rsidRPr="00CA6E54" w:rsidRDefault="00CA6E54" w:rsidP="00CA6E54">
      <w:pPr>
        <w:snapToGrid w:val="0"/>
        <w:ind w:leftChars="135" w:left="705" w:hangingChars="201" w:hanging="422"/>
        <w:rPr>
          <w:rFonts w:ascii="ＭＳ 明朝" w:hAnsi="ＭＳ 明朝"/>
          <w:szCs w:val="21"/>
        </w:rPr>
      </w:pPr>
      <w:r w:rsidRPr="00CA6E54">
        <w:rPr>
          <w:rFonts w:ascii="ＭＳ 明朝" w:hAnsi="ＭＳ 明朝" w:hint="eastAsia"/>
          <w:szCs w:val="21"/>
        </w:rPr>
        <w:t>① 営業課題のヒアリングおよび現状分析</w:t>
      </w:r>
    </w:p>
    <w:p w14:paraId="33F80EA4" w14:textId="77777777" w:rsidR="00CA6E54" w:rsidRPr="00CA6E54" w:rsidRDefault="00CA6E54" w:rsidP="00CA6E54">
      <w:pPr>
        <w:snapToGrid w:val="0"/>
        <w:ind w:leftChars="135" w:left="705" w:hangingChars="201" w:hanging="422"/>
        <w:rPr>
          <w:rFonts w:ascii="ＭＳ 明朝" w:hAnsi="ＭＳ 明朝"/>
          <w:szCs w:val="21"/>
        </w:rPr>
      </w:pPr>
      <w:r w:rsidRPr="00CA6E54">
        <w:rPr>
          <w:rFonts w:ascii="ＭＳ 明朝" w:hAnsi="ＭＳ 明朝" w:hint="eastAsia"/>
          <w:szCs w:val="21"/>
        </w:rPr>
        <w:t>② 研修内容および講師の選定</w:t>
      </w:r>
    </w:p>
    <w:p w14:paraId="4E567807" w14:textId="77777777" w:rsidR="00CA6E54" w:rsidRPr="00CA6E54" w:rsidRDefault="00CA6E54" w:rsidP="00CA6E54">
      <w:pPr>
        <w:snapToGrid w:val="0"/>
        <w:ind w:leftChars="135" w:left="705" w:hangingChars="201" w:hanging="422"/>
        <w:rPr>
          <w:rFonts w:ascii="ＭＳ 明朝" w:hAnsi="ＭＳ 明朝"/>
          <w:szCs w:val="21"/>
        </w:rPr>
      </w:pPr>
      <w:r w:rsidRPr="00CA6E54">
        <w:rPr>
          <w:rFonts w:ascii="ＭＳ 明朝" w:hAnsi="ＭＳ 明朝" w:hint="eastAsia"/>
          <w:szCs w:val="21"/>
        </w:rPr>
        <w:t>③ 社内セミナーの実施（全営業対象）</w:t>
      </w:r>
    </w:p>
    <w:p w14:paraId="66478533" w14:textId="77777777" w:rsidR="00CA6E54" w:rsidRPr="00CA6E54" w:rsidRDefault="00CA6E54" w:rsidP="00CA6E54">
      <w:pPr>
        <w:snapToGrid w:val="0"/>
        <w:ind w:leftChars="135" w:left="705" w:hangingChars="201" w:hanging="422"/>
        <w:rPr>
          <w:rFonts w:ascii="ＭＳ 明朝" w:hAnsi="ＭＳ 明朝"/>
          <w:szCs w:val="21"/>
        </w:rPr>
      </w:pPr>
      <w:r w:rsidRPr="00CA6E54">
        <w:rPr>
          <w:rFonts w:ascii="ＭＳ 明朝" w:hAnsi="ＭＳ 明朝" w:hint="eastAsia"/>
          <w:szCs w:val="21"/>
        </w:rPr>
        <w:t>④ 実践トレーニングおよび現場適用</w:t>
      </w:r>
    </w:p>
    <w:p w14:paraId="34FDECF2" w14:textId="60CDDB81" w:rsidR="00CA6E54" w:rsidRDefault="00CA6E54" w:rsidP="00CA6E54">
      <w:pPr>
        <w:snapToGrid w:val="0"/>
        <w:ind w:leftChars="135" w:left="705" w:hangingChars="201" w:hanging="422"/>
        <w:rPr>
          <w:rFonts w:ascii="ＭＳ 明朝" w:hAnsi="ＭＳ 明朝"/>
          <w:szCs w:val="21"/>
        </w:rPr>
      </w:pPr>
      <w:r w:rsidRPr="00CA6E54">
        <w:rPr>
          <w:rFonts w:ascii="ＭＳ 明朝" w:hAnsi="ＭＳ 明朝" w:hint="eastAsia"/>
          <w:szCs w:val="21"/>
        </w:rPr>
        <w:t>⑤ 定期フォローおよび成果検証</w:t>
      </w:r>
    </w:p>
    <w:p w14:paraId="4BB7025F" w14:textId="52A5F4E1" w:rsidR="00441ECF" w:rsidRPr="00441ECF" w:rsidRDefault="00441ECF" w:rsidP="00CA6E54">
      <w:pPr>
        <w:snapToGrid w:val="0"/>
        <w:spacing w:beforeLines="50" w:before="155"/>
        <w:rPr>
          <w:rFonts w:ascii="ＭＳ 明朝" w:hAnsi="ＭＳ 明朝"/>
          <w:b/>
          <w:bCs/>
          <w:szCs w:val="21"/>
        </w:rPr>
      </w:pPr>
      <w:r w:rsidRPr="00441ECF">
        <w:rPr>
          <w:rFonts w:ascii="ＭＳ 明朝" w:hAnsi="ＭＳ 明朝" w:hint="eastAsia"/>
          <w:b/>
          <w:bCs/>
          <w:szCs w:val="21"/>
        </w:rPr>
        <w:t>6.</w:t>
      </w:r>
      <w:r w:rsidR="00CA6E54" w:rsidRPr="00CA6E54">
        <w:t xml:space="preserve"> </w:t>
      </w:r>
      <w:r w:rsidR="00CA6E54" w:rsidRPr="00CA6E54">
        <w:rPr>
          <w:rFonts w:ascii="ＭＳ 明朝" w:hAnsi="ＭＳ 明朝"/>
          <w:b/>
          <w:bCs/>
          <w:szCs w:val="21"/>
        </w:rPr>
        <w:t>講師および研修内容の例</w:t>
      </w:r>
    </w:p>
    <w:p w14:paraId="0B4B0D12" w14:textId="51DFF1BA" w:rsidR="00CA6E54" w:rsidRPr="00CA6E54" w:rsidRDefault="00CA6E54" w:rsidP="00CA6E54">
      <w:pPr>
        <w:snapToGrid w:val="0"/>
        <w:ind w:leftChars="135" w:left="283"/>
        <w:rPr>
          <w:rFonts w:ascii="ＭＳ 明朝" w:hAnsi="ＭＳ 明朝"/>
          <w:szCs w:val="21"/>
        </w:rPr>
      </w:pPr>
      <w:r w:rsidRPr="00CA6E54">
        <w:rPr>
          <w:rFonts w:ascii="ＭＳ 明朝" w:hAnsi="ＭＳ 明朝"/>
          <w:szCs w:val="21"/>
        </w:rPr>
        <w:t>営業教育において実績のある外部講師（例：ソリューション営業の専門家）を招聘し、実践的な内容を中心とした研修を行うことを想定しています。</w:t>
      </w:r>
    </w:p>
    <w:p w14:paraId="594131BF" w14:textId="77777777" w:rsidR="00CA6E54" w:rsidRPr="00CA6E54" w:rsidRDefault="00CA6E54" w:rsidP="00CA6E54">
      <w:pPr>
        <w:snapToGrid w:val="0"/>
        <w:spacing w:beforeLines="50" w:before="155"/>
        <w:ind w:leftChars="135" w:left="283"/>
        <w:rPr>
          <w:rFonts w:ascii="ＭＳ 明朝" w:hAnsi="ＭＳ 明朝"/>
          <w:szCs w:val="21"/>
        </w:rPr>
      </w:pPr>
      <w:r w:rsidRPr="00CA6E54">
        <w:rPr>
          <w:rFonts w:ascii="ＭＳ 明朝" w:hAnsi="ＭＳ 明朝"/>
          <w:szCs w:val="21"/>
        </w:rPr>
        <w:t>内容例：</w:t>
      </w:r>
    </w:p>
    <w:p w14:paraId="67CAD3D8" w14:textId="77777777" w:rsidR="00CA6E54" w:rsidRDefault="00CA6E54" w:rsidP="00CA6E54">
      <w:pPr>
        <w:snapToGrid w:val="0"/>
        <w:ind w:leftChars="68" w:left="708" w:hangingChars="269" w:hanging="565"/>
        <w:rPr>
          <w:rFonts w:ascii="ＭＳ 明朝" w:hAnsi="ＭＳ 明朝"/>
          <w:szCs w:val="21"/>
        </w:rPr>
      </w:pPr>
      <w:r w:rsidRPr="00CA6E54">
        <w:rPr>
          <w:rFonts w:ascii="ＭＳ 明朝" w:hAnsi="ＭＳ 明朝"/>
          <w:szCs w:val="21"/>
        </w:rPr>
        <w:t>・顧客課題の引き出し方</w:t>
      </w:r>
    </w:p>
    <w:p w14:paraId="43C6DC81" w14:textId="77777777" w:rsidR="00CA6E54" w:rsidRDefault="00CA6E54" w:rsidP="00CA6E54">
      <w:pPr>
        <w:snapToGrid w:val="0"/>
        <w:ind w:leftChars="68" w:left="708" w:hangingChars="269" w:hanging="565"/>
        <w:rPr>
          <w:rFonts w:ascii="ＭＳ 明朝" w:hAnsi="ＭＳ 明朝"/>
          <w:szCs w:val="21"/>
        </w:rPr>
      </w:pPr>
      <w:r w:rsidRPr="00CA6E54">
        <w:rPr>
          <w:rFonts w:ascii="ＭＳ 明朝" w:hAnsi="ＭＳ 明朝"/>
          <w:szCs w:val="21"/>
        </w:rPr>
        <w:t>・提案書作成のポイント</w:t>
      </w:r>
    </w:p>
    <w:p w14:paraId="35786002" w14:textId="77777777" w:rsidR="00CA6E54" w:rsidRDefault="00CA6E54" w:rsidP="00CA6E54">
      <w:pPr>
        <w:snapToGrid w:val="0"/>
        <w:ind w:leftChars="68" w:left="708" w:hangingChars="269" w:hanging="565"/>
        <w:rPr>
          <w:rFonts w:ascii="ＭＳ 明朝" w:hAnsi="ＭＳ 明朝"/>
          <w:szCs w:val="21"/>
        </w:rPr>
      </w:pPr>
      <w:r w:rsidRPr="00CA6E54">
        <w:rPr>
          <w:rFonts w:ascii="ＭＳ 明朝" w:hAnsi="ＭＳ 明朝"/>
          <w:szCs w:val="21"/>
        </w:rPr>
        <w:t>・クロージング技術</w:t>
      </w:r>
    </w:p>
    <w:p w14:paraId="06C199F9" w14:textId="6607FA46" w:rsidR="00441ECF" w:rsidRDefault="00CA6E54" w:rsidP="00CA6E54">
      <w:pPr>
        <w:snapToGrid w:val="0"/>
        <w:ind w:leftChars="68" w:left="708" w:hangingChars="269" w:hanging="565"/>
        <w:rPr>
          <w:rFonts w:ascii="ＭＳ 明朝" w:hAnsi="ＭＳ 明朝"/>
          <w:szCs w:val="21"/>
        </w:rPr>
      </w:pPr>
      <w:r w:rsidRPr="00CA6E54">
        <w:rPr>
          <w:rFonts w:ascii="ＭＳ 明朝" w:hAnsi="ＭＳ 明朝"/>
          <w:szCs w:val="21"/>
        </w:rPr>
        <w:t>・営業プロセス管理手法</w:t>
      </w:r>
    </w:p>
    <w:p w14:paraId="386D3E4C" w14:textId="77777777" w:rsidR="00CA6E54" w:rsidRPr="00441ECF" w:rsidRDefault="00CA6E54" w:rsidP="00441ECF">
      <w:pPr>
        <w:snapToGrid w:val="0"/>
        <w:rPr>
          <w:rFonts w:ascii="ＭＳ 明朝" w:hAnsi="ＭＳ 明朝"/>
          <w:szCs w:val="21"/>
        </w:rPr>
      </w:pPr>
    </w:p>
    <w:p w14:paraId="4C3CA5D2" w14:textId="7AD336D4" w:rsidR="00441ECF" w:rsidRPr="00441ECF" w:rsidRDefault="00441ECF" w:rsidP="00CA6E54">
      <w:pPr>
        <w:snapToGrid w:val="0"/>
        <w:rPr>
          <w:rFonts w:ascii="ＭＳ 明朝" w:hAnsi="ＭＳ 明朝"/>
          <w:b/>
          <w:bCs/>
          <w:szCs w:val="21"/>
        </w:rPr>
      </w:pPr>
      <w:r w:rsidRPr="00441ECF">
        <w:rPr>
          <w:rFonts w:ascii="ＭＳ 明朝" w:hAnsi="ＭＳ 明朝" w:hint="eastAsia"/>
          <w:b/>
          <w:bCs/>
          <w:szCs w:val="21"/>
        </w:rPr>
        <w:t>7.</w:t>
      </w:r>
      <w:r w:rsidR="00CA6E54" w:rsidRPr="00CA6E54">
        <w:t xml:space="preserve"> </w:t>
      </w:r>
      <w:r w:rsidR="00CA6E54" w:rsidRPr="00CA6E54">
        <w:rPr>
          <w:rFonts w:ascii="ＭＳ 明朝" w:hAnsi="ＭＳ 明朝"/>
          <w:b/>
          <w:bCs/>
          <w:szCs w:val="21"/>
        </w:rPr>
        <w:t>投資対効果</w:t>
      </w:r>
    </w:p>
    <w:p w14:paraId="08F3DAA4" w14:textId="1A71143B" w:rsidR="00CA6E54" w:rsidRPr="00CA6E54" w:rsidRDefault="00CA6E54" w:rsidP="00CA6E54">
      <w:pPr>
        <w:snapToGrid w:val="0"/>
        <w:ind w:leftChars="135" w:left="283"/>
        <w:rPr>
          <w:rFonts w:ascii="ＭＳ 明朝" w:hAnsi="ＭＳ 明朝"/>
          <w:szCs w:val="21"/>
        </w:rPr>
      </w:pPr>
      <w:r w:rsidRPr="00CA6E54">
        <w:rPr>
          <w:rFonts w:ascii="ＭＳ 明朝" w:hAnsi="ＭＳ 明朝" w:hint="eastAsia"/>
          <w:szCs w:val="21"/>
        </w:rPr>
        <w:t>本施策にかかる費用は発生するものの、成約率の向上や営業効率改善により、短期間での回収が見込まれます。</w:t>
      </w:r>
    </w:p>
    <w:p w14:paraId="57966324" w14:textId="7F21E1CA" w:rsidR="00004D44" w:rsidRDefault="00CA6E54" w:rsidP="00CA6E54">
      <w:pPr>
        <w:snapToGrid w:val="0"/>
        <w:spacing w:beforeLines="50" w:before="155"/>
        <w:ind w:leftChars="135" w:left="283"/>
        <w:rPr>
          <w:rFonts w:ascii="ＭＳ 明朝" w:hAnsi="ＭＳ 明朝"/>
          <w:szCs w:val="21"/>
        </w:rPr>
      </w:pPr>
      <w:r w:rsidRPr="00CA6E54">
        <w:rPr>
          <w:rFonts w:ascii="ＭＳ 明朝" w:hAnsi="ＭＳ 明朝" w:hint="eastAsia"/>
          <w:szCs w:val="21"/>
        </w:rPr>
        <w:t>営業力の強化は、単発の施策ではなく、継続的に利益を生み出す投資として非常に有効です。</w:t>
      </w:r>
    </w:p>
    <w:p w14:paraId="7B453E3F" w14:textId="77777777" w:rsidR="00CA6E54" w:rsidRDefault="00CA6E54" w:rsidP="00CA6E54">
      <w:pPr>
        <w:snapToGrid w:val="0"/>
        <w:rPr>
          <w:rFonts w:ascii="ＭＳ 明朝" w:hAnsi="ＭＳ 明朝"/>
          <w:szCs w:val="21"/>
        </w:rPr>
      </w:pPr>
    </w:p>
    <w:p w14:paraId="624FFFDB" w14:textId="2812FB73" w:rsidR="00CA6E54" w:rsidRPr="00CA6E54" w:rsidRDefault="00CA6E54" w:rsidP="00CA6E54">
      <w:pPr>
        <w:snapToGrid w:val="0"/>
        <w:rPr>
          <w:rFonts w:ascii="ＭＳ 明朝" w:hAnsi="ＭＳ 明朝"/>
          <w:b/>
          <w:bCs/>
          <w:szCs w:val="21"/>
        </w:rPr>
      </w:pPr>
      <w:r w:rsidRPr="00CA6E54">
        <w:rPr>
          <w:rFonts w:ascii="ＭＳ 明朝" w:hAnsi="ＭＳ 明朝" w:hint="eastAsia"/>
          <w:b/>
          <w:bCs/>
          <w:szCs w:val="21"/>
        </w:rPr>
        <w:t>8．まとめ</w:t>
      </w:r>
    </w:p>
    <w:p w14:paraId="46FBA4A0" w14:textId="77777777" w:rsidR="00CA6E54" w:rsidRPr="00CA6E54" w:rsidRDefault="00CA6E54" w:rsidP="00CA6E54">
      <w:pPr>
        <w:snapToGrid w:val="0"/>
        <w:ind w:leftChars="135" w:left="283"/>
        <w:rPr>
          <w:rFonts w:ascii="ＭＳ 明朝" w:hAnsi="ＭＳ 明朝"/>
          <w:szCs w:val="21"/>
        </w:rPr>
      </w:pPr>
      <w:r w:rsidRPr="00CA6E54">
        <w:rPr>
          <w:rFonts w:ascii="ＭＳ 明朝" w:hAnsi="ＭＳ 明朝" w:hint="eastAsia"/>
          <w:szCs w:val="21"/>
        </w:rPr>
        <w:t>本提案は、営業個人のスキルに依存した体制から脱却し、</w:t>
      </w:r>
    </w:p>
    <w:p w14:paraId="3EE775AD" w14:textId="77777777" w:rsidR="00CA6E54" w:rsidRPr="00CA6E54" w:rsidRDefault="00CA6E54" w:rsidP="00CA6E54">
      <w:pPr>
        <w:snapToGrid w:val="0"/>
        <w:ind w:leftChars="135" w:left="283"/>
        <w:rPr>
          <w:rFonts w:ascii="ＭＳ 明朝" w:hAnsi="ＭＳ 明朝"/>
          <w:szCs w:val="21"/>
        </w:rPr>
      </w:pPr>
      <w:r w:rsidRPr="00CA6E54">
        <w:rPr>
          <w:rFonts w:ascii="ＭＳ 明朝" w:hAnsi="ＭＳ 明朝" w:hint="eastAsia"/>
          <w:szCs w:val="21"/>
        </w:rPr>
        <w:t>組織として成果を出し続ける営業体制を構築するための施策です。</w:t>
      </w:r>
    </w:p>
    <w:p w14:paraId="49E53ACC" w14:textId="77777777" w:rsidR="00CA6E54" w:rsidRPr="00CA6E54" w:rsidRDefault="00CA6E54" w:rsidP="00CA6E54">
      <w:pPr>
        <w:snapToGrid w:val="0"/>
        <w:spacing w:beforeLines="50" w:before="155"/>
        <w:ind w:leftChars="135" w:left="283"/>
        <w:rPr>
          <w:rFonts w:ascii="ＭＳ 明朝" w:hAnsi="ＭＳ 明朝"/>
          <w:szCs w:val="21"/>
        </w:rPr>
      </w:pPr>
      <w:r w:rsidRPr="00CA6E54">
        <w:rPr>
          <w:rFonts w:ascii="ＭＳ 明朝" w:hAnsi="ＭＳ 明朝" w:hint="eastAsia"/>
          <w:szCs w:val="21"/>
        </w:rPr>
        <w:t>営業力の底上げと標準化を実現することで、</w:t>
      </w:r>
    </w:p>
    <w:p w14:paraId="7A0D9087" w14:textId="77777777" w:rsidR="00CA6E54" w:rsidRPr="00CA6E54" w:rsidRDefault="00CA6E54" w:rsidP="00CA6E54">
      <w:pPr>
        <w:snapToGrid w:val="0"/>
        <w:ind w:leftChars="135" w:left="283"/>
        <w:rPr>
          <w:rFonts w:ascii="ＭＳ 明朝" w:hAnsi="ＭＳ 明朝"/>
          <w:szCs w:val="21"/>
        </w:rPr>
      </w:pPr>
      <w:r w:rsidRPr="00CA6E54">
        <w:rPr>
          <w:rFonts w:ascii="ＭＳ 明朝" w:hAnsi="ＭＳ 明朝" w:hint="eastAsia"/>
          <w:szCs w:val="21"/>
        </w:rPr>
        <w:t>企業全体の売上拡大と競争力向上が期待されます。</w:t>
      </w:r>
    </w:p>
    <w:p w14:paraId="70AC00FD" w14:textId="2BEC6CB4" w:rsidR="00CA6E54" w:rsidRDefault="00CA6E54" w:rsidP="00CA6E54">
      <w:pPr>
        <w:snapToGrid w:val="0"/>
        <w:spacing w:beforeLines="50" w:before="155"/>
        <w:ind w:leftChars="135" w:left="283"/>
        <w:rPr>
          <w:rFonts w:ascii="ＭＳ 明朝" w:hAnsi="ＭＳ 明朝"/>
          <w:szCs w:val="21"/>
        </w:rPr>
      </w:pPr>
      <w:r w:rsidRPr="00CA6E54">
        <w:rPr>
          <w:rFonts w:ascii="ＭＳ 明朝" w:hAnsi="ＭＳ 明朝" w:hint="eastAsia"/>
          <w:szCs w:val="21"/>
        </w:rPr>
        <w:t>何卒ご検討賜りますようお願い申し上げます。</w:t>
      </w:r>
    </w:p>
    <w:p w14:paraId="79F4107A" w14:textId="77777777" w:rsidR="00CA6E54" w:rsidRDefault="00CA6E54" w:rsidP="00CA6E54">
      <w:pPr>
        <w:snapToGrid w:val="0"/>
        <w:rPr>
          <w:rFonts w:ascii="ＭＳ 明朝" w:hAnsi="ＭＳ 明朝"/>
          <w:b/>
          <w:bCs/>
          <w:szCs w:val="21"/>
        </w:rPr>
      </w:pPr>
    </w:p>
    <w:p w14:paraId="57F66F2E" w14:textId="4F7FEEAC" w:rsidR="00CA6E54" w:rsidRPr="00CA6E54" w:rsidRDefault="00CA6E54" w:rsidP="00CA6E54">
      <w:pPr>
        <w:snapToGrid w:val="0"/>
        <w:rPr>
          <w:rFonts w:ascii="ＭＳ 明朝" w:hAnsi="ＭＳ 明朝"/>
          <w:b/>
          <w:bCs/>
          <w:szCs w:val="21"/>
        </w:rPr>
      </w:pPr>
      <w:r w:rsidRPr="00CA6E54">
        <w:rPr>
          <w:rFonts w:ascii="ＭＳ 明朝" w:hAnsi="ＭＳ 明朝"/>
          <w:b/>
          <w:bCs/>
          <w:szCs w:val="21"/>
        </w:rPr>
        <w:t>9．添付資料</w:t>
      </w:r>
    </w:p>
    <w:p w14:paraId="63E01BC2" w14:textId="77777777" w:rsidR="00A81984" w:rsidRDefault="00CA6E54" w:rsidP="00CA6E54">
      <w:pPr>
        <w:snapToGrid w:val="0"/>
        <w:ind w:leftChars="68" w:left="708" w:hangingChars="269" w:hanging="565"/>
        <w:rPr>
          <w:rFonts w:ascii="ＭＳ 明朝" w:hAnsi="ＭＳ 明朝"/>
          <w:szCs w:val="21"/>
        </w:rPr>
      </w:pPr>
      <w:r w:rsidRPr="00CA6E54">
        <w:rPr>
          <w:rFonts w:ascii="ＭＳ 明朝" w:hAnsi="ＭＳ 明朝"/>
          <w:szCs w:val="21"/>
        </w:rPr>
        <w:t>・営業スキル向上に関する社内アンケート結果</w:t>
      </w:r>
    </w:p>
    <w:p w14:paraId="570B506D" w14:textId="77777777" w:rsidR="00A81984" w:rsidRDefault="00CA6E54" w:rsidP="00CA6E54">
      <w:pPr>
        <w:snapToGrid w:val="0"/>
        <w:ind w:leftChars="68" w:left="708" w:hangingChars="269" w:hanging="565"/>
        <w:rPr>
          <w:rFonts w:ascii="ＭＳ 明朝" w:hAnsi="ＭＳ 明朝"/>
          <w:szCs w:val="21"/>
        </w:rPr>
      </w:pPr>
      <w:r w:rsidRPr="00CA6E54">
        <w:rPr>
          <w:rFonts w:ascii="ＭＳ 明朝" w:hAnsi="ＭＳ 明朝"/>
          <w:szCs w:val="21"/>
        </w:rPr>
        <w:t>・営業研修プログラム資料</w:t>
      </w:r>
    </w:p>
    <w:p w14:paraId="241425B5" w14:textId="68194CB2" w:rsidR="00CA6E54" w:rsidRPr="00CA6E54" w:rsidRDefault="00CA6E54" w:rsidP="00CA6E54">
      <w:pPr>
        <w:snapToGrid w:val="0"/>
        <w:ind w:leftChars="68" w:left="708" w:hangingChars="269" w:hanging="565"/>
        <w:rPr>
          <w:rFonts w:ascii="ＭＳ 明朝" w:hAnsi="ＭＳ 明朝"/>
          <w:szCs w:val="21"/>
        </w:rPr>
      </w:pPr>
      <w:r w:rsidRPr="00CA6E54">
        <w:rPr>
          <w:rFonts w:ascii="ＭＳ 明朝" w:hAnsi="ＭＳ 明朝"/>
          <w:szCs w:val="21"/>
        </w:rPr>
        <w:t>・参考書籍「営業は運任せではない」</w:t>
      </w:r>
    </w:p>
    <w:p w14:paraId="6D60EA4B" w14:textId="77777777" w:rsidR="00CA6E54" w:rsidRDefault="00CA6E54" w:rsidP="00CA6E54">
      <w:pPr>
        <w:snapToGrid w:val="0"/>
        <w:spacing w:beforeLines="50" w:before="155"/>
        <w:rPr>
          <w:rFonts w:ascii="ＭＳ 明朝" w:hAnsi="ＭＳ 明朝"/>
          <w:szCs w:val="21"/>
        </w:rPr>
      </w:pPr>
    </w:p>
    <w:p w14:paraId="49D6DB3E" w14:textId="77777777" w:rsidR="00CA6E54" w:rsidRDefault="00CA6E54" w:rsidP="00004D44">
      <w:pPr>
        <w:snapToGrid w:val="0"/>
        <w:jc w:val="right"/>
        <w:rPr>
          <w:rFonts w:ascii="ＭＳ 明朝" w:hAnsi="ＭＳ 明朝"/>
          <w:szCs w:val="21"/>
        </w:rPr>
      </w:pPr>
    </w:p>
    <w:p w14:paraId="393B11F1" w14:textId="4E913128" w:rsidR="00D90753" w:rsidRDefault="00441ECF" w:rsidP="00004D44">
      <w:pPr>
        <w:snapToGrid w:val="0"/>
        <w:jc w:val="right"/>
        <w:rPr>
          <w:rFonts w:ascii="ＭＳ 明朝" w:hAnsi="ＭＳ 明朝"/>
          <w:sz w:val="24"/>
          <w:szCs w:val="28"/>
        </w:rPr>
      </w:pPr>
      <w:r w:rsidRPr="00441ECF">
        <w:rPr>
          <w:rFonts w:ascii="ＭＳ 明朝" w:hAnsi="ＭＳ 明朝" w:hint="eastAsia"/>
          <w:szCs w:val="21"/>
        </w:rPr>
        <w:t>以上</w:t>
      </w:r>
    </w:p>
    <w:sectPr w:rsidR="00D90753" w:rsidSect="00441ECF">
      <w:headerReference w:type="default" r:id="rId8"/>
      <w:pgSz w:w="11906" w:h="16838"/>
      <w:pgMar w:top="1701" w:right="1418"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85CA6" w14:textId="77777777" w:rsidR="003609FE" w:rsidRDefault="003609FE" w:rsidP="009A503D">
      <w:r>
        <w:separator/>
      </w:r>
    </w:p>
  </w:endnote>
  <w:endnote w:type="continuationSeparator" w:id="0">
    <w:p w14:paraId="75E9E9A6" w14:textId="77777777" w:rsidR="003609FE" w:rsidRDefault="003609FE"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504EE" w14:textId="77777777" w:rsidR="003609FE" w:rsidRDefault="003609FE" w:rsidP="009A503D">
      <w:r>
        <w:separator/>
      </w:r>
    </w:p>
  </w:footnote>
  <w:footnote w:type="continuationSeparator" w:id="0">
    <w:p w14:paraId="5C65728D" w14:textId="77777777" w:rsidR="003609FE" w:rsidRDefault="003609FE"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34D"/>
    <w:multiLevelType w:val="hybridMultilevel"/>
    <w:tmpl w:val="2446DCD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C2C3317"/>
    <w:multiLevelType w:val="hybridMultilevel"/>
    <w:tmpl w:val="709C9828"/>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DA404E3"/>
    <w:multiLevelType w:val="hybridMultilevel"/>
    <w:tmpl w:val="0F22F42A"/>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86F53AC"/>
    <w:multiLevelType w:val="hybridMultilevel"/>
    <w:tmpl w:val="70A0325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CDA58FA"/>
    <w:multiLevelType w:val="hybridMultilevel"/>
    <w:tmpl w:val="CD360626"/>
    <w:lvl w:ilvl="0" w:tplc="374E11D0">
      <w:numFmt w:val="bullet"/>
      <w:lvlText w:val="□"/>
      <w:lvlJc w:val="left"/>
      <w:pPr>
        <w:ind w:left="465" w:hanging="360"/>
      </w:pPr>
      <w:rPr>
        <w:rFonts w:ascii="ＭＳ 明朝" w:eastAsia="ＭＳ 明朝" w:hAnsi="ＭＳ 明朝" w:cs="Times New Roman" w:hint="eastAsia"/>
        <w:b/>
        <w:bCs w:val="0"/>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5" w15:restartNumberingAfterBreak="0">
    <w:nsid w:val="371555BD"/>
    <w:multiLevelType w:val="hybridMultilevel"/>
    <w:tmpl w:val="53C8794A"/>
    <w:lvl w:ilvl="0" w:tplc="C176637E">
      <w:numFmt w:val="bullet"/>
      <w:lvlText w:val="□"/>
      <w:lvlJc w:val="left"/>
      <w:pPr>
        <w:ind w:left="465" w:hanging="360"/>
      </w:pPr>
      <w:rPr>
        <w:rFonts w:ascii="ＭＳ 明朝" w:eastAsia="ＭＳ 明朝" w:hAnsi="ＭＳ 明朝" w:cs="Times New Roman" w:hint="eastAsia"/>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6" w15:restartNumberingAfterBreak="0">
    <w:nsid w:val="3A0D4708"/>
    <w:multiLevelType w:val="hybridMultilevel"/>
    <w:tmpl w:val="82D827E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A7857FD"/>
    <w:multiLevelType w:val="hybridMultilevel"/>
    <w:tmpl w:val="A22628B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0FC5029"/>
    <w:multiLevelType w:val="hybridMultilevel"/>
    <w:tmpl w:val="3CD2C186"/>
    <w:lvl w:ilvl="0" w:tplc="00E4713A">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BED63D8"/>
    <w:multiLevelType w:val="hybridMultilevel"/>
    <w:tmpl w:val="3CCA9534"/>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9A80D11"/>
    <w:multiLevelType w:val="hybridMultilevel"/>
    <w:tmpl w:val="F72607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758D72C7"/>
    <w:multiLevelType w:val="hybridMultilevel"/>
    <w:tmpl w:val="3C8EA6C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21913652">
    <w:abstractNumId w:val="11"/>
  </w:num>
  <w:num w:numId="2" w16cid:durableId="1613127588">
    <w:abstractNumId w:val="12"/>
  </w:num>
  <w:num w:numId="3" w16cid:durableId="939028462">
    <w:abstractNumId w:val="7"/>
  </w:num>
  <w:num w:numId="4" w16cid:durableId="1798912757">
    <w:abstractNumId w:val="4"/>
  </w:num>
  <w:num w:numId="5" w16cid:durableId="1299995786">
    <w:abstractNumId w:val="5"/>
  </w:num>
  <w:num w:numId="6" w16cid:durableId="465241534">
    <w:abstractNumId w:val="8"/>
  </w:num>
  <w:num w:numId="7" w16cid:durableId="1042825012">
    <w:abstractNumId w:val="10"/>
  </w:num>
  <w:num w:numId="8" w16cid:durableId="699278084">
    <w:abstractNumId w:val="2"/>
  </w:num>
  <w:num w:numId="9" w16cid:durableId="763960292">
    <w:abstractNumId w:val="9"/>
  </w:num>
  <w:num w:numId="10" w16cid:durableId="262033399">
    <w:abstractNumId w:val="0"/>
  </w:num>
  <w:num w:numId="11" w16cid:durableId="262228307">
    <w:abstractNumId w:val="3"/>
  </w:num>
  <w:num w:numId="12" w16cid:durableId="1850485180">
    <w:abstractNumId w:val="6"/>
  </w:num>
  <w:num w:numId="13" w16cid:durableId="1126393595">
    <w:abstractNumId w:val="13"/>
  </w:num>
  <w:num w:numId="14" w16cid:durableId="921992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defaultTabStop w:val="840"/>
  <w:drawingGridHorizontalSpacing w:val="105"/>
  <w:drawingGridVerticalSpacing w:val="311"/>
  <w:displayHorizontalDrawingGridEvery w:val="0"/>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02870"/>
    <w:rsid w:val="00004D44"/>
    <w:rsid w:val="00012386"/>
    <w:rsid w:val="00022C29"/>
    <w:rsid w:val="0005363C"/>
    <w:rsid w:val="000614BA"/>
    <w:rsid w:val="00064080"/>
    <w:rsid w:val="00071C6F"/>
    <w:rsid w:val="000752A7"/>
    <w:rsid w:val="00090147"/>
    <w:rsid w:val="000A107F"/>
    <w:rsid w:val="000B4B29"/>
    <w:rsid w:val="000C12A8"/>
    <w:rsid w:val="000C1A72"/>
    <w:rsid w:val="000C44EF"/>
    <w:rsid w:val="000E1CD6"/>
    <w:rsid w:val="0010733A"/>
    <w:rsid w:val="00120A86"/>
    <w:rsid w:val="0013392A"/>
    <w:rsid w:val="00155D20"/>
    <w:rsid w:val="00155FFB"/>
    <w:rsid w:val="001604D7"/>
    <w:rsid w:val="001612A7"/>
    <w:rsid w:val="00161D48"/>
    <w:rsid w:val="00172C77"/>
    <w:rsid w:val="001A139B"/>
    <w:rsid w:val="001B6AEF"/>
    <w:rsid w:val="001C183A"/>
    <w:rsid w:val="001E389B"/>
    <w:rsid w:val="001E5817"/>
    <w:rsid w:val="001F425F"/>
    <w:rsid w:val="00227634"/>
    <w:rsid w:val="002543B0"/>
    <w:rsid w:val="0025593B"/>
    <w:rsid w:val="00257029"/>
    <w:rsid w:val="00261402"/>
    <w:rsid w:val="00271578"/>
    <w:rsid w:val="002A6606"/>
    <w:rsid w:val="002E03A7"/>
    <w:rsid w:val="002E76EC"/>
    <w:rsid w:val="002E7C26"/>
    <w:rsid w:val="002F144E"/>
    <w:rsid w:val="00307C27"/>
    <w:rsid w:val="00326653"/>
    <w:rsid w:val="003310BC"/>
    <w:rsid w:val="00333DA3"/>
    <w:rsid w:val="00351A11"/>
    <w:rsid w:val="003559CB"/>
    <w:rsid w:val="003609FE"/>
    <w:rsid w:val="00375E95"/>
    <w:rsid w:val="00376EC2"/>
    <w:rsid w:val="00377760"/>
    <w:rsid w:val="0038237F"/>
    <w:rsid w:val="00393BA3"/>
    <w:rsid w:val="003A305E"/>
    <w:rsid w:val="003A3419"/>
    <w:rsid w:val="003C601C"/>
    <w:rsid w:val="003D4515"/>
    <w:rsid w:val="003E4713"/>
    <w:rsid w:val="003F6BEA"/>
    <w:rsid w:val="00416F3D"/>
    <w:rsid w:val="0042106F"/>
    <w:rsid w:val="00422B32"/>
    <w:rsid w:val="00422C00"/>
    <w:rsid w:val="00441ECF"/>
    <w:rsid w:val="00446725"/>
    <w:rsid w:val="00454C2A"/>
    <w:rsid w:val="004575B4"/>
    <w:rsid w:val="00470112"/>
    <w:rsid w:val="00472674"/>
    <w:rsid w:val="0047592E"/>
    <w:rsid w:val="00477005"/>
    <w:rsid w:val="0048743D"/>
    <w:rsid w:val="004B16A3"/>
    <w:rsid w:val="004B2DC7"/>
    <w:rsid w:val="004B42E8"/>
    <w:rsid w:val="004B4527"/>
    <w:rsid w:val="004C46B7"/>
    <w:rsid w:val="004D5924"/>
    <w:rsid w:val="004D6B78"/>
    <w:rsid w:val="00506788"/>
    <w:rsid w:val="00542443"/>
    <w:rsid w:val="00552113"/>
    <w:rsid w:val="00563BE6"/>
    <w:rsid w:val="005744E4"/>
    <w:rsid w:val="005E1C52"/>
    <w:rsid w:val="005E27CA"/>
    <w:rsid w:val="005E30DD"/>
    <w:rsid w:val="005E36DE"/>
    <w:rsid w:val="00601C7A"/>
    <w:rsid w:val="00612A1B"/>
    <w:rsid w:val="006132A8"/>
    <w:rsid w:val="00622BFC"/>
    <w:rsid w:val="006261F1"/>
    <w:rsid w:val="00646DD9"/>
    <w:rsid w:val="0065284B"/>
    <w:rsid w:val="006563E0"/>
    <w:rsid w:val="006B006B"/>
    <w:rsid w:val="006D1342"/>
    <w:rsid w:val="006D3797"/>
    <w:rsid w:val="00706761"/>
    <w:rsid w:val="0073432C"/>
    <w:rsid w:val="00735A5B"/>
    <w:rsid w:val="0073790D"/>
    <w:rsid w:val="007540D1"/>
    <w:rsid w:val="00754BD4"/>
    <w:rsid w:val="00780E0D"/>
    <w:rsid w:val="007831DA"/>
    <w:rsid w:val="007B000B"/>
    <w:rsid w:val="007B04E4"/>
    <w:rsid w:val="007B440B"/>
    <w:rsid w:val="007D3044"/>
    <w:rsid w:val="007D42CA"/>
    <w:rsid w:val="007D42E0"/>
    <w:rsid w:val="00815EFD"/>
    <w:rsid w:val="00844850"/>
    <w:rsid w:val="00851D43"/>
    <w:rsid w:val="0088549E"/>
    <w:rsid w:val="00886FD5"/>
    <w:rsid w:val="00893369"/>
    <w:rsid w:val="008A648B"/>
    <w:rsid w:val="008A7D4B"/>
    <w:rsid w:val="008C5EB8"/>
    <w:rsid w:val="008D6D83"/>
    <w:rsid w:val="008E1343"/>
    <w:rsid w:val="008F160D"/>
    <w:rsid w:val="00931483"/>
    <w:rsid w:val="0093496D"/>
    <w:rsid w:val="009364FF"/>
    <w:rsid w:val="00946C49"/>
    <w:rsid w:val="00952394"/>
    <w:rsid w:val="0097006D"/>
    <w:rsid w:val="0098175D"/>
    <w:rsid w:val="009A3497"/>
    <w:rsid w:val="009A503D"/>
    <w:rsid w:val="009B3ED8"/>
    <w:rsid w:val="009B6D19"/>
    <w:rsid w:val="009D3689"/>
    <w:rsid w:val="009F0B74"/>
    <w:rsid w:val="00A10830"/>
    <w:rsid w:val="00A20889"/>
    <w:rsid w:val="00A46A80"/>
    <w:rsid w:val="00A66034"/>
    <w:rsid w:val="00A81984"/>
    <w:rsid w:val="00AB3FD8"/>
    <w:rsid w:val="00AD3B7B"/>
    <w:rsid w:val="00AD475D"/>
    <w:rsid w:val="00AF2D2E"/>
    <w:rsid w:val="00B371AD"/>
    <w:rsid w:val="00B5416A"/>
    <w:rsid w:val="00B61459"/>
    <w:rsid w:val="00B85963"/>
    <w:rsid w:val="00BC16D4"/>
    <w:rsid w:val="00BD47C3"/>
    <w:rsid w:val="00BE31FE"/>
    <w:rsid w:val="00C03D6F"/>
    <w:rsid w:val="00C22491"/>
    <w:rsid w:val="00C26A13"/>
    <w:rsid w:val="00C35C26"/>
    <w:rsid w:val="00C36852"/>
    <w:rsid w:val="00C4179F"/>
    <w:rsid w:val="00C515A4"/>
    <w:rsid w:val="00C6653C"/>
    <w:rsid w:val="00C700AD"/>
    <w:rsid w:val="00CA1884"/>
    <w:rsid w:val="00CA2940"/>
    <w:rsid w:val="00CA6E54"/>
    <w:rsid w:val="00CB1B89"/>
    <w:rsid w:val="00CB331E"/>
    <w:rsid w:val="00CC0535"/>
    <w:rsid w:val="00CE5C07"/>
    <w:rsid w:val="00D1314A"/>
    <w:rsid w:val="00D314EF"/>
    <w:rsid w:val="00D40B11"/>
    <w:rsid w:val="00D4208D"/>
    <w:rsid w:val="00D65B02"/>
    <w:rsid w:val="00D90753"/>
    <w:rsid w:val="00D90C1B"/>
    <w:rsid w:val="00DA34A9"/>
    <w:rsid w:val="00DD77C8"/>
    <w:rsid w:val="00E2103B"/>
    <w:rsid w:val="00E319DD"/>
    <w:rsid w:val="00E47554"/>
    <w:rsid w:val="00E54741"/>
    <w:rsid w:val="00E710E3"/>
    <w:rsid w:val="00E80062"/>
    <w:rsid w:val="00E81D6C"/>
    <w:rsid w:val="00E82873"/>
    <w:rsid w:val="00EE2475"/>
    <w:rsid w:val="00EF5CF7"/>
    <w:rsid w:val="00F15E21"/>
    <w:rsid w:val="00F42493"/>
    <w:rsid w:val="00F575D9"/>
    <w:rsid w:val="00F71F34"/>
    <w:rsid w:val="00F8511C"/>
    <w:rsid w:val="00F91DED"/>
    <w:rsid w:val="00F9203C"/>
    <w:rsid w:val="00FA0DED"/>
    <w:rsid w:val="00FD2870"/>
    <w:rsid w:val="00FD6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2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2</Pages>
  <Words>232</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1558</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65</cp:revision>
  <cp:lastPrinted>2025-04-20T01:37:00Z</cp:lastPrinted>
  <dcterms:created xsi:type="dcterms:W3CDTF">2023-12-16T04:16:00Z</dcterms:created>
  <dcterms:modified xsi:type="dcterms:W3CDTF">2026-04-15T04:13:00Z</dcterms:modified>
</cp:coreProperties>
</file>